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6176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13" w:lineRule="auto"/>
        <w:jc w:val="center"/>
        <w:textAlignment w:val="auto"/>
        <w:rPr>
          <w:rFonts w:hint="eastAsia" w:ascii="宋体" w:hAnsi="宋体" w:eastAsia="宋体" w:cs="宋体"/>
          <w:color w:val="auto"/>
          <w:sz w:val="36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6"/>
          <w:szCs w:val="28"/>
          <w:highlight w:val="none"/>
          <w:lang w:val="en-US" w:eastAsia="zh-CN"/>
        </w:rPr>
        <w:t>2026年度拟出让地块考古机械保障项目</w:t>
      </w:r>
    </w:p>
    <w:p w14:paraId="0D859F4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13" w:lineRule="auto"/>
        <w:jc w:val="center"/>
        <w:textAlignment w:val="auto"/>
        <w:rPr>
          <w:rFonts w:hint="eastAsia" w:ascii="宋体" w:hAnsi="宋体" w:eastAsia="宋体" w:cs="宋体"/>
          <w:color w:val="auto"/>
          <w:sz w:val="36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36"/>
          <w:szCs w:val="28"/>
          <w:highlight w:val="none"/>
          <w:lang w:val="en-US" w:eastAsia="zh-CN"/>
        </w:rPr>
        <w:t>工程量</w:t>
      </w:r>
      <w:r>
        <w:rPr>
          <w:rFonts w:hint="eastAsia" w:ascii="宋体" w:hAnsi="宋体" w:eastAsia="宋体" w:cs="宋体"/>
          <w:color w:val="auto"/>
          <w:sz w:val="36"/>
          <w:szCs w:val="28"/>
          <w:highlight w:val="none"/>
        </w:rPr>
        <w:t>清单</w:t>
      </w:r>
      <w:r>
        <w:rPr>
          <w:rFonts w:hint="eastAsia" w:ascii="宋体" w:hAnsi="宋体" w:eastAsia="宋体" w:cs="宋体"/>
          <w:color w:val="auto"/>
          <w:sz w:val="36"/>
          <w:szCs w:val="28"/>
          <w:highlight w:val="none"/>
          <w:lang w:val="en-US" w:eastAsia="zh-CN"/>
        </w:rPr>
        <w:t>编制</w:t>
      </w:r>
      <w:r>
        <w:rPr>
          <w:rFonts w:hint="eastAsia" w:ascii="宋体" w:hAnsi="宋体" w:eastAsia="宋体" w:cs="宋体"/>
          <w:color w:val="auto"/>
          <w:sz w:val="36"/>
          <w:szCs w:val="28"/>
          <w:highlight w:val="none"/>
        </w:rPr>
        <w:t>说明</w:t>
      </w:r>
    </w:p>
    <w:p w14:paraId="45B31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</w:rPr>
        <w:t>、工程概况</w:t>
      </w:r>
    </w:p>
    <w:p w14:paraId="7B93D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2026年度拟出让地块考古机械保障项目位于南京市江北新区，项目总占地面积约105000㎡，挖土平均深度约1.5m,总土方量约157500m³。</w:t>
      </w:r>
    </w:p>
    <w:p w14:paraId="19A74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  <w:lang w:val="en-US" w:eastAsia="zh-CN"/>
        </w:rPr>
        <w:t>二、工程招标范围</w:t>
      </w:r>
    </w:p>
    <w:p w14:paraId="6EFC1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包括2026年度拟出让地块内约105000㎡的土方开挖、土方回填恢复等工程；具体详见招标工程量清单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。</w:t>
      </w:r>
      <w:bookmarkStart w:id="0" w:name="_GoBack"/>
      <w:bookmarkEnd w:id="0"/>
    </w:p>
    <w:p w14:paraId="5E17F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  <w:lang w:val="en-US" w:eastAsia="zh-CN"/>
        </w:rPr>
        <w:t>三、编制依据</w:t>
      </w:r>
    </w:p>
    <w:p w14:paraId="459EB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、《建设工程工程量清单计价规范》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GB50500-2013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《房屋建筑与装饰工程工程量计算规范》(GB50854-2013)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</w:p>
    <w:p w14:paraId="1E018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江苏省建筑与装饰工程计价定额》（2014年）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</w:p>
    <w:p w14:paraId="6F3D8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3、2014年《江苏省建设工程费用定额》（营改增最新文件）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</w:p>
    <w:p w14:paraId="653F0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、与建设项目相关的标准、规范、技术资料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相关标准集、以及省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市造价管理部门发布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的与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工程造价相关的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现行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</w:p>
    <w:p w14:paraId="12568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委托人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提供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本工程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招标文件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</w:p>
    <w:p w14:paraId="2A1C2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、施工现场情况、工程特点及常规施工方案。</w:t>
      </w:r>
    </w:p>
    <w:p w14:paraId="0FD9E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楷体" w:hAnsi="楷体" w:eastAsia="楷体" w:cs="楷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  <w:lang w:val="en-US" w:eastAsia="zh-CN"/>
        </w:rPr>
        <w:t>四、工程质量、工期</w:t>
      </w:r>
    </w:p>
    <w:p w14:paraId="674EF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1、质量标准：“合格”，具体详见招标文件。</w:t>
      </w:r>
    </w:p>
    <w:p w14:paraId="590E9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2、工期：详见招标文件。</w:t>
      </w:r>
    </w:p>
    <w:p w14:paraId="1FB12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  <w:lang w:val="en-US" w:eastAsia="zh-CN"/>
        </w:rPr>
        <w:t>五、暂列金额、暂估价</w:t>
      </w:r>
    </w:p>
    <w:p w14:paraId="009725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1、本工程无暂列金额；</w:t>
      </w:r>
    </w:p>
    <w:p w14:paraId="138FD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2、本工程无材料（设备）暂估价。</w:t>
      </w:r>
    </w:p>
    <w:p w14:paraId="0DBDA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楷体" w:hAnsi="楷体" w:eastAsia="楷体" w:cs="楷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  <w:lang w:val="en-US" w:eastAsia="zh-CN"/>
        </w:rPr>
        <w:t>六、清单编制具体说明</w:t>
      </w:r>
    </w:p>
    <w:p w14:paraId="2E5A3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outlineLvl w:val="2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1、土方开挖约1.5m,待考古勘探后对场地进行回填恢复，具体平整及压实度满足验收要求，不考虑土方内倒和外运费用。</w:t>
      </w:r>
    </w:p>
    <w:p w14:paraId="070C6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outlineLvl w:val="2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投标人需自行考虑扬尘防治措施及费用，并遵循市相关文件中的条例与处罚规定，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结算不额外增加费用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 w14:paraId="49035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outlineLvl w:val="2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投标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于投标前必须自行踏勘现场，充分了解并分析施工条件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考虑保证机械正常运转的措施费用，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包含但不限于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场地硬化(回填道碴、钢板等)措施等，结算时费用不予调整。</w:t>
      </w:r>
    </w:p>
    <w:p w14:paraId="689FE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outlineLvl w:val="2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、投标人根据招标文件给定的工期进行投标，且应充分考虑本工程所处地区的自然气候、人文地理条件、入驻企业等原因导致的工期影响、机械停滞、多次进退场、裸土覆盖、停工期间现场管理等，自行考虑相关措施，涉及费用计入报价，结算时不调整。</w:t>
      </w:r>
    </w:p>
    <w:p w14:paraId="2D4D6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outlineLvl w:val="2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5、投标人必须综合考虑政府行政管理部门的有关发文及要求，综合考虑雾霾、节日活动、防灾治理等可能致停工、窝工、机械闲置、效率降低等相关费用增加，招标人将不做任何费用补偿和费用调整。</w:t>
      </w:r>
    </w:p>
    <w:p w14:paraId="5EDC6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outlineLvl w:val="2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投标人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承诺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并采取相应措施保证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施工不污染、破坏路面，一旦发生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及时恢复，相关费用须纳入投标报价，结算时费用不予调整。</w:t>
      </w:r>
    </w:p>
    <w:p w14:paraId="117BE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outlineLvl w:val="2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7、施工过程中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市容、环保（含夜间施工）等协调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配合主管部门检查的相关费用由投标人自行考虑在投标总价中，结算时不另外增加费用。</w:t>
      </w:r>
    </w:p>
    <w:p w14:paraId="46DCB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outlineLvl w:val="2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8、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投标人需结合现场情况在投标报价中综合考虑施工围挡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保证施工现场及工人生活区域形成独立完整的封闭系统与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外界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做到完全物理隔离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施工期间不得影响周圈企业、居民、学校等正常的工作、生活和学习环境，保护周圈设施，道路使用、环境卫生、噪音排放等方面服从建设单位统一管理，如产生施工降效，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结算时不予调整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。</w:t>
      </w:r>
    </w:p>
    <w:p w14:paraId="655C3B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2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9、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因施工场地及合同工期时间的要求，实际施工过程中产生的夜间施工及赶工等费用，需综合考虑在投标报价中，结算时不再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另行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计取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。</w:t>
      </w:r>
    </w:p>
    <w:p w14:paraId="32C29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outlineLvl w:val="2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10、中标人进场后需与建设单位沟通，制定能满足考古工作顺利开展的施工方案，结算时不因实际方案与投标拟定方案差异而调整费用。</w:t>
      </w:r>
    </w:p>
    <w:p w14:paraId="1B81D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outlineLvl w:val="2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11</w:t>
      </w:r>
      <w:r>
        <w:rPr>
          <w:rFonts w:hint="default" w:ascii="仿宋" w:hAnsi="仿宋" w:eastAsia="仿宋" w:cs="仿宋"/>
          <w:color w:val="auto"/>
          <w:sz w:val="24"/>
          <w:highlight w:val="none"/>
          <w:lang w:val="en-US"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招标清单工程量为1项的项目，请投标人在报价中充分考虑，结算时不得另行增加其他费用。</w:t>
      </w:r>
    </w:p>
    <w:p w14:paraId="36B90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outlineLvl w:val="2"/>
      </w:pPr>
    </w:p>
    <w:sectPr>
      <w:footerReference r:id="rId3" w:type="default"/>
      <w:pgSz w:w="11906" w:h="16838"/>
      <w:pgMar w:top="1134" w:right="1417" w:bottom="1134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F235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392FB9">
                          <w:pPr>
                            <w:pStyle w:val="4"/>
                            <w:rPr>
                              <w:rFonts w:hint="eastAsia" w:ascii="楷体" w:hAnsi="楷体" w:eastAsia="楷体" w:cs="楷体"/>
                              <w:b/>
                              <w:bCs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</w:rPr>
                            <w:t xml:space="preserve">第 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</w:rPr>
                            <w:t xml:space="preserve"> 页 共 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</w:rPr>
                            <w:t>16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392FB9">
                    <w:pPr>
                      <w:pStyle w:val="4"/>
                      <w:rPr>
                        <w:rFonts w:hint="eastAsia" w:ascii="楷体" w:hAnsi="楷体" w:eastAsia="楷体" w:cs="楷体"/>
                        <w:b/>
                        <w:bCs/>
                      </w:rPr>
                    </w:pPr>
                    <w:r>
                      <w:rPr>
                        <w:rFonts w:hint="eastAsia" w:ascii="楷体" w:hAnsi="楷体" w:eastAsia="楷体" w:cs="楷体"/>
                        <w:b/>
                        <w:bCs/>
                      </w:rPr>
                      <w:t xml:space="preserve">第 </w:t>
                    </w:r>
                    <w:r>
                      <w:rPr>
                        <w:rFonts w:hint="eastAsia" w:ascii="楷体" w:hAnsi="楷体" w:eastAsia="楷体" w:cs="楷体"/>
                        <w:b/>
                        <w:bCs/>
                      </w:rPr>
                      <w:fldChar w:fldCharType="begin"/>
                    </w:r>
                    <w:r>
                      <w:rPr>
                        <w:rFonts w:hint="eastAsia" w:ascii="楷体" w:hAnsi="楷体" w:eastAsia="楷体" w:cs="楷体"/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rFonts w:hint="eastAsia" w:ascii="楷体" w:hAnsi="楷体" w:eastAsia="楷体" w:cs="楷体"/>
                        <w:b/>
                        <w:bCs/>
                      </w:rPr>
                      <w:fldChar w:fldCharType="separate"/>
                    </w:r>
                    <w:r>
                      <w:rPr>
                        <w:rFonts w:hint="eastAsia" w:ascii="楷体" w:hAnsi="楷体" w:eastAsia="楷体" w:cs="楷体"/>
                        <w:b/>
                        <w:bCs/>
                      </w:rPr>
                      <w:t>1</w:t>
                    </w:r>
                    <w:r>
                      <w:rPr>
                        <w:rFonts w:hint="eastAsia" w:ascii="楷体" w:hAnsi="楷体" w:eastAsia="楷体" w:cs="楷体"/>
                        <w:b/>
                        <w:bCs/>
                      </w:rPr>
                      <w:fldChar w:fldCharType="end"/>
                    </w:r>
                    <w:r>
                      <w:rPr>
                        <w:rFonts w:hint="eastAsia" w:ascii="楷体" w:hAnsi="楷体" w:eastAsia="楷体" w:cs="楷体"/>
                        <w:b/>
                        <w:bCs/>
                      </w:rPr>
                      <w:t xml:space="preserve"> 页 共 </w:t>
                    </w:r>
                    <w:r>
                      <w:rPr>
                        <w:rFonts w:hint="eastAsia" w:ascii="楷体" w:hAnsi="楷体" w:eastAsia="楷体" w:cs="楷体"/>
                        <w:b/>
                        <w:bCs/>
                      </w:rPr>
                      <w:fldChar w:fldCharType="begin"/>
                    </w:r>
                    <w:r>
                      <w:rPr>
                        <w:rFonts w:hint="eastAsia" w:ascii="楷体" w:hAnsi="楷体" w:eastAsia="楷体" w:cs="楷体"/>
                        <w:b/>
                        <w:bCs/>
                      </w:rPr>
                      <w:instrText xml:space="preserve"> NUMPAGES  \* MERGEFORMAT </w:instrText>
                    </w:r>
                    <w:r>
                      <w:rPr>
                        <w:rFonts w:hint="eastAsia" w:ascii="楷体" w:hAnsi="楷体" w:eastAsia="楷体" w:cs="楷体"/>
                        <w:b/>
                        <w:bCs/>
                      </w:rPr>
                      <w:fldChar w:fldCharType="separate"/>
                    </w:r>
                    <w:r>
                      <w:rPr>
                        <w:rFonts w:hint="eastAsia" w:ascii="楷体" w:hAnsi="楷体" w:eastAsia="楷体" w:cs="楷体"/>
                        <w:b/>
                        <w:bCs/>
                      </w:rPr>
                      <w:t>16</w:t>
                    </w:r>
                    <w:r>
                      <w:rPr>
                        <w:rFonts w:hint="eastAsia" w:ascii="楷体" w:hAnsi="楷体" w:eastAsia="楷体" w:cs="楷体"/>
                        <w:b/>
                        <w:bCs/>
                      </w:rPr>
                      <w:fldChar w:fldCharType="end"/>
                    </w:r>
                    <w:r>
                      <w:rPr>
                        <w:rFonts w:hint="eastAsia" w:ascii="楷体" w:hAnsi="楷体" w:eastAsia="楷体" w:cs="楷体"/>
                        <w:b/>
                        <w:bCs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95E2D"/>
    <w:rsid w:val="01EF04A7"/>
    <w:rsid w:val="028E13EB"/>
    <w:rsid w:val="04FA7115"/>
    <w:rsid w:val="05335DD8"/>
    <w:rsid w:val="08500690"/>
    <w:rsid w:val="08C416C3"/>
    <w:rsid w:val="09D9119E"/>
    <w:rsid w:val="0B23759E"/>
    <w:rsid w:val="102A1DC3"/>
    <w:rsid w:val="11C646FD"/>
    <w:rsid w:val="11D64215"/>
    <w:rsid w:val="131D034D"/>
    <w:rsid w:val="13A04ADA"/>
    <w:rsid w:val="14D74C72"/>
    <w:rsid w:val="187D3DBA"/>
    <w:rsid w:val="1D1D2443"/>
    <w:rsid w:val="1D696777"/>
    <w:rsid w:val="21156B08"/>
    <w:rsid w:val="225136E4"/>
    <w:rsid w:val="22543660"/>
    <w:rsid w:val="23CC41E5"/>
    <w:rsid w:val="23F9596E"/>
    <w:rsid w:val="28A016CA"/>
    <w:rsid w:val="2AC82040"/>
    <w:rsid w:val="2B3F12BA"/>
    <w:rsid w:val="30C10112"/>
    <w:rsid w:val="340974E6"/>
    <w:rsid w:val="38172D0E"/>
    <w:rsid w:val="38EF3C8A"/>
    <w:rsid w:val="399B3C93"/>
    <w:rsid w:val="3B395E2D"/>
    <w:rsid w:val="3D3A1978"/>
    <w:rsid w:val="41B11ADD"/>
    <w:rsid w:val="42EB74CC"/>
    <w:rsid w:val="43EF4B3E"/>
    <w:rsid w:val="441E362B"/>
    <w:rsid w:val="44B26298"/>
    <w:rsid w:val="45F97C2A"/>
    <w:rsid w:val="476F0470"/>
    <w:rsid w:val="47AA76FA"/>
    <w:rsid w:val="4A595572"/>
    <w:rsid w:val="4A5E47CC"/>
    <w:rsid w:val="4C493329"/>
    <w:rsid w:val="4DFC6EDC"/>
    <w:rsid w:val="4FB05ACA"/>
    <w:rsid w:val="5032028D"/>
    <w:rsid w:val="505D3F38"/>
    <w:rsid w:val="541D4945"/>
    <w:rsid w:val="568F1C45"/>
    <w:rsid w:val="56A703F5"/>
    <w:rsid w:val="57DB68EE"/>
    <w:rsid w:val="598219D2"/>
    <w:rsid w:val="5A041279"/>
    <w:rsid w:val="5AD330E2"/>
    <w:rsid w:val="5AED7BD2"/>
    <w:rsid w:val="5B8E1C6A"/>
    <w:rsid w:val="63027F93"/>
    <w:rsid w:val="64572B8F"/>
    <w:rsid w:val="649D5277"/>
    <w:rsid w:val="6621051F"/>
    <w:rsid w:val="675B09A9"/>
    <w:rsid w:val="67A7735B"/>
    <w:rsid w:val="68EA74FF"/>
    <w:rsid w:val="69D837FB"/>
    <w:rsid w:val="6F084B83"/>
    <w:rsid w:val="6FAF34D2"/>
    <w:rsid w:val="705B5186"/>
    <w:rsid w:val="726245AA"/>
    <w:rsid w:val="736D1458"/>
    <w:rsid w:val="74B51309"/>
    <w:rsid w:val="7617506C"/>
    <w:rsid w:val="76E60F22"/>
    <w:rsid w:val="79E166FC"/>
    <w:rsid w:val="7BE6624C"/>
    <w:rsid w:val="7D5611AF"/>
    <w:rsid w:val="7F802513"/>
    <w:rsid w:val="7F97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1226</Words>
  <Characters>1297</Characters>
  <Lines>0</Lines>
  <Paragraphs>0</Paragraphs>
  <TotalTime>4</TotalTime>
  <ScaleCrop>false</ScaleCrop>
  <LinksUpToDate>false</LinksUpToDate>
  <CharactersWithSpaces>1297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2025-06-25T02:59:00Z</dcterms:created>
  <dc:creator>叶峰</dc:creator>
  <cp:lastModifiedBy>Administrator</cp:lastModifiedBy>
  <dcterms:modified xsi:type="dcterms:W3CDTF">2026-02-28T09:06:32Z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172C4E35324141C8A60E80C5976621F3_13</vt:lpwstr>
  </property>
  <property fmtid="{D5CDD505-2E9C-101B-9397-08002B2CF9AE}" pid="4" name="KSOTemplateDocerSaveRecord">
    <vt:lpwstr>eyJoZGlkIjoiMWE5MzliMTNjOTNjMGVkNWIyYzViM2YxOGFlNGZiMjMiLCJ1c2VySWQiOiIxOTM1NDA4OTQifQ==</vt:lpwstr>
  </property>
</Properties>
</file>